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43" w:rsidRPr="00635D43" w:rsidRDefault="00635D43" w:rsidP="00635D43">
      <w:pPr>
        <w:jc w:val="center"/>
        <w:rPr>
          <w:rFonts w:ascii="ＭＳ ゴシック" w:eastAsia="ＭＳ ゴシック" w:hAnsi="ＭＳ ゴシック" w:cs="Times New Roman"/>
          <w:sz w:val="24"/>
          <w:szCs w:val="28"/>
        </w:rPr>
      </w:pPr>
      <w:r w:rsidRPr="00635D43">
        <w:rPr>
          <w:rFonts w:ascii="ＭＳ ゴシック" w:eastAsia="ＭＳ ゴシック" w:hAnsi="ＭＳ ゴシック" w:cs="Times New Roman" w:hint="eastAsia"/>
          <w:sz w:val="24"/>
          <w:szCs w:val="28"/>
        </w:rPr>
        <w:t>伐採及び集材に係るチェックリスト</w:t>
      </w:r>
    </w:p>
    <w:p w:rsidR="00635D43" w:rsidRPr="00635D43" w:rsidRDefault="00635D43" w:rsidP="00635D43">
      <w:pPr>
        <w:spacing w:line="360" w:lineRule="auto"/>
        <w:jc w:val="right"/>
        <w:rPr>
          <w:rFonts w:ascii="ＭＳ ゴシック" w:eastAsia="ＭＳ ゴシック" w:hAnsi="ＭＳ ゴシック" w:cs="Times New Roman"/>
          <w:sz w:val="24"/>
          <w:szCs w:val="28"/>
        </w:rPr>
      </w:pPr>
      <w:r w:rsidRPr="00635D43">
        <w:rPr>
          <w:rFonts w:ascii="ＭＳ 明朝" w:eastAsia="ＭＳ 明朝" w:hAnsi="Century" w:cs="Times New Roman" w:hint="eastAsia"/>
          <w:u w:val="single"/>
        </w:rPr>
        <w:t xml:space="preserve">　　年　　月　　日</w:t>
      </w:r>
    </w:p>
    <w:p w:rsidR="00635D43" w:rsidRPr="00635D43" w:rsidRDefault="00635D43" w:rsidP="00635D43">
      <w:pPr>
        <w:spacing w:line="360" w:lineRule="auto"/>
        <w:ind w:firstLineChars="100" w:firstLine="210"/>
        <w:rPr>
          <w:rFonts w:ascii="ＭＳ 明朝" w:eastAsia="ＭＳ 明朝" w:hAnsi="Century" w:cs="Times New Roman"/>
          <w:u w:val="single"/>
        </w:rPr>
      </w:pPr>
      <w:r w:rsidRPr="00635D43">
        <w:rPr>
          <w:rFonts w:ascii="ＭＳ 明朝" w:eastAsia="ＭＳ 明朝" w:hAnsi="Century" w:cs="Times New Roman" w:hint="eastAsia"/>
          <w:u w:val="single"/>
        </w:rPr>
        <w:t xml:space="preserve">伐採する者：　　　　　　　　　　　　　　　　　　　　　　　</w:t>
      </w:r>
    </w:p>
    <w:p w:rsidR="00635D43" w:rsidRPr="00635D43" w:rsidRDefault="00635D43" w:rsidP="00635D43">
      <w:pPr>
        <w:spacing w:line="360" w:lineRule="auto"/>
        <w:ind w:firstLineChars="100" w:firstLine="210"/>
        <w:rPr>
          <w:rFonts w:ascii="ＭＳ 明朝" w:eastAsia="ＭＳ 明朝" w:hAnsi="Century" w:cs="Times New Roman"/>
          <w:u w:val="single"/>
        </w:rPr>
      </w:pPr>
      <w:r w:rsidRPr="00635D43">
        <w:rPr>
          <w:rFonts w:ascii="ＭＳ 明朝" w:eastAsia="ＭＳ 明朝" w:hAnsi="Century" w:cs="Times New Roman" w:hint="eastAsia"/>
          <w:u w:val="single"/>
        </w:rPr>
        <w:t xml:space="preserve">森林の所在場所：　　　　　　　　　　　　　　　　　　　　　</w:t>
      </w:r>
    </w:p>
    <w:tbl>
      <w:tblPr>
        <w:tblStyle w:val="1"/>
        <w:tblW w:w="9355" w:type="dxa"/>
        <w:tblInd w:w="279" w:type="dxa"/>
        <w:tblLook w:val="04A0" w:firstRow="1" w:lastRow="0" w:firstColumn="1" w:lastColumn="0" w:noHBand="0" w:noVBand="1"/>
      </w:tblPr>
      <w:tblGrid>
        <w:gridCol w:w="8505"/>
        <w:gridCol w:w="850"/>
      </w:tblGrid>
      <w:tr w:rsidR="00635D43" w:rsidRPr="00635D43" w:rsidTr="00C64C66">
        <w:trPr>
          <w:trHeight w:val="444"/>
        </w:trPr>
        <w:tc>
          <w:tcPr>
            <w:tcW w:w="8505" w:type="dxa"/>
            <w:tcBorders>
              <w:right w:val="single" w:sz="4" w:space="0" w:color="auto"/>
            </w:tcBorders>
            <w:vAlign w:val="center"/>
          </w:tcPr>
          <w:p w:rsidR="00635D43" w:rsidRPr="00635D43" w:rsidRDefault="00635D43" w:rsidP="00635D43">
            <w:pPr>
              <w:jc w:val="center"/>
              <w:rPr>
                <w:rFonts w:ascii="ＭＳ 明朝" w:hAnsi="ＭＳ 明朝"/>
                <w:sz w:val="22"/>
                <w:szCs w:val="24"/>
              </w:rPr>
            </w:pPr>
            <w:r w:rsidRPr="00635D43">
              <w:rPr>
                <w:rFonts w:ascii="ＭＳ 明朝"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635D43" w:rsidRPr="00635D43" w:rsidRDefault="00635D43" w:rsidP="00635D43">
            <w:pPr>
              <w:jc w:val="center"/>
              <w:rPr>
                <w:rFonts w:ascii="ＭＳ 明朝" w:hAnsi="ＭＳ 明朝"/>
                <w:sz w:val="22"/>
                <w:szCs w:val="24"/>
              </w:rPr>
            </w:pPr>
            <w:r w:rsidRPr="00635D43">
              <w:rPr>
                <w:rFonts w:ascii="ＭＳ 明朝" w:hAnsi="ＭＳ 明朝" w:hint="eastAsia"/>
                <w:sz w:val="22"/>
                <w:szCs w:val="24"/>
              </w:rPr>
              <w:t>確認</w:t>
            </w:r>
          </w:p>
        </w:tc>
      </w:tr>
      <w:tr w:rsidR="00635D43" w:rsidRPr="00635D43" w:rsidTr="00C64C66">
        <w:trPr>
          <w:trHeight w:val="1807"/>
        </w:trPr>
        <w:tc>
          <w:tcPr>
            <w:tcW w:w="8505" w:type="dxa"/>
            <w:tcBorders>
              <w:right w:val="single" w:sz="4" w:space="0" w:color="auto"/>
            </w:tcBorders>
          </w:tcPr>
          <w:p w:rsidR="00635D43" w:rsidRPr="00635D43" w:rsidRDefault="00635D43" w:rsidP="00635D43">
            <w:pPr>
              <w:jc w:val="left"/>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t>（１）伐採の方法及び区域の設定</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①森林所有者に対し再造林の必要性を説明しその実施に向けた意識向上を図るとともに、伐採と造林の一貫作業の導入など作業効率の向上に努める。</w:t>
            </w:r>
          </w:p>
          <w:p w:rsidR="00635D43" w:rsidRPr="00635D43" w:rsidRDefault="00635D43" w:rsidP="00635D43">
            <w:pPr>
              <w:ind w:leftChars="150" w:left="315"/>
              <w:rPr>
                <w:rFonts w:ascii="ＭＳ 明朝" w:hAnsi="ＭＳ 明朝"/>
                <w:sz w:val="22"/>
                <w:szCs w:val="24"/>
              </w:rPr>
            </w:pPr>
            <w:r w:rsidRPr="00635D43">
              <w:rPr>
                <w:rFonts w:ascii="ＭＳ 明朝" w:hAnsi="ＭＳ 明朝" w:hint="eastAsia"/>
                <w:sz w:val="22"/>
                <w:szCs w:val="24"/>
              </w:rPr>
              <w:t>②林地や生物多様性の保全に配慮した伐採方法を採用する。</w:t>
            </w:r>
          </w:p>
          <w:p w:rsidR="00635D43" w:rsidRPr="00635D43" w:rsidRDefault="00635D43" w:rsidP="00635D43">
            <w:pPr>
              <w:ind w:leftChars="150" w:left="315"/>
              <w:rPr>
                <w:rFonts w:ascii="ＭＳ 明朝" w:hAnsi="ＭＳ 明朝"/>
                <w:sz w:val="22"/>
                <w:szCs w:val="24"/>
              </w:rPr>
            </w:pPr>
            <w:r w:rsidRPr="00635D43">
              <w:rPr>
                <w:rFonts w:ascii="ＭＳ 明朝" w:hAnsi="ＭＳ 明朝" w:hint="eastAsia"/>
                <w:sz w:val="22"/>
                <w:szCs w:val="24"/>
              </w:rPr>
              <w:t>③伐採する区域の明確化を行う。</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④林地や生物多様性の保全に配慮し、保護樹帯や保残木を設定するとともに、それらに架線や集材路を通過させる場合は影響範囲を最小限にする。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rsidR="00635D43" w:rsidRPr="00635D43" w:rsidRDefault="00635D43" w:rsidP="00635D43">
            <w:pPr>
              <w:widowControl/>
              <w:jc w:val="center"/>
              <w:rPr>
                <w:rFonts w:ascii="ＭＳ 明朝" w:hAnsi="ＭＳ 明朝"/>
                <w:sz w:val="22"/>
                <w:szCs w:val="24"/>
              </w:rPr>
            </w:pPr>
            <w:r w:rsidRPr="00635D43">
              <w:rPr>
                <w:rFonts w:ascii="ＭＳ 明朝" w:hAnsi="ＭＳ 明朝" w:hint="eastAsia"/>
                <w:sz w:val="44"/>
                <w:szCs w:val="48"/>
              </w:rPr>
              <w:t>□</w:t>
            </w:r>
          </w:p>
        </w:tc>
      </w:tr>
      <w:tr w:rsidR="00635D43" w:rsidRPr="00635D43" w:rsidTr="00C64C66">
        <w:trPr>
          <w:trHeight w:val="3850"/>
        </w:trPr>
        <w:tc>
          <w:tcPr>
            <w:tcW w:w="8505" w:type="dxa"/>
            <w:tcBorders>
              <w:right w:val="single" w:sz="4" w:space="0" w:color="auto"/>
            </w:tcBorders>
          </w:tcPr>
          <w:p w:rsidR="00635D43" w:rsidRPr="00635D43" w:rsidRDefault="00635D43" w:rsidP="00635D43">
            <w:pPr>
              <w:jc w:val="left"/>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t>（２）林地保全に配慮した集材路</w:t>
            </w:r>
            <w:r w:rsidRPr="00635D43">
              <w:rPr>
                <w:rFonts w:ascii="ＭＳ ゴシック" w:eastAsia="ＭＳ ゴシック" w:hAnsi="ＭＳ ゴシック" w:hint="eastAsia"/>
                <w:sz w:val="22"/>
                <w:szCs w:val="24"/>
                <w:vertAlign w:val="superscript"/>
              </w:rPr>
              <w:t>注１）</w:t>
            </w:r>
            <w:r w:rsidRPr="00635D43">
              <w:rPr>
                <w:rFonts w:ascii="ＭＳ ゴシック" w:eastAsia="ＭＳ ゴシック" w:hAnsi="ＭＳ ゴシック" w:hint="eastAsia"/>
                <w:sz w:val="22"/>
                <w:szCs w:val="24"/>
              </w:rPr>
              <w:t>・土場の配置・作設</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①集材路・土場の作設によって土砂の流出・崩壊が発生しないよう集材方法や使用機械を選定し、集材路・土場の配置を必要最小限にする。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②地形等の条件に応じて、路網と架線を適切に組み合わせる。また、集材路の作設等により林地の崩壊を引き起こすおそれがある場合等の伐採・搬出は、架線集材とする。</w:t>
            </w:r>
          </w:p>
          <w:p w:rsidR="00635D43" w:rsidRPr="00635D43" w:rsidRDefault="00635D43" w:rsidP="00635D43">
            <w:pPr>
              <w:ind w:leftChars="150" w:left="315"/>
              <w:rPr>
                <w:rFonts w:ascii="ＭＳ 明朝" w:hAnsi="ＭＳ 明朝"/>
                <w:sz w:val="22"/>
                <w:szCs w:val="24"/>
              </w:rPr>
            </w:pPr>
            <w:r w:rsidRPr="00635D43">
              <w:rPr>
                <w:rFonts w:ascii="ＭＳ 明朝" w:hAnsi="ＭＳ 明朝" w:hint="eastAsia"/>
                <w:sz w:val="22"/>
                <w:szCs w:val="24"/>
              </w:rPr>
              <w:t>③土場の作設では法面を丸太組みで支える等の対策を講じる。</w:t>
            </w:r>
          </w:p>
          <w:p w:rsidR="00635D43" w:rsidRPr="00635D43" w:rsidRDefault="00635D43" w:rsidP="00635D43">
            <w:pPr>
              <w:ind w:leftChars="150" w:left="315"/>
              <w:rPr>
                <w:rFonts w:ascii="ＭＳ 明朝" w:hAnsi="ＭＳ 明朝"/>
                <w:sz w:val="22"/>
                <w:szCs w:val="24"/>
              </w:rPr>
            </w:pPr>
            <w:r w:rsidRPr="00635D43">
              <w:rPr>
                <w:rFonts w:ascii="ＭＳ 明朝" w:hAnsi="ＭＳ 明朝" w:hint="eastAsia"/>
                <w:sz w:val="22"/>
                <w:szCs w:val="24"/>
              </w:rPr>
              <w:t>④現場の状況に応じて、集材路・土場の配置に係る計画の変更を行う。</w:t>
            </w:r>
          </w:p>
          <w:p w:rsidR="00635D43" w:rsidRPr="00635D43" w:rsidRDefault="00635D43" w:rsidP="00635D43">
            <w:pPr>
              <w:ind w:leftChars="150" w:left="315"/>
              <w:rPr>
                <w:rFonts w:ascii="ＭＳ 明朝" w:hAnsi="ＭＳ 明朝"/>
                <w:sz w:val="22"/>
                <w:szCs w:val="24"/>
              </w:rPr>
            </w:pPr>
            <w:r w:rsidRPr="00635D43">
              <w:rPr>
                <w:rFonts w:ascii="ＭＳ 明朝" w:hAnsi="ＭＳ 明朝" w:hint="eastAsia"/>
                <w:sz w:val="22"/>
                <w:szCs w:val="24"/>
              </w:rPr>
              <w:t>⑤集材路の線形は、極力等高線に合わせる。</w:t>
            </w:r>
          </w:p>
          <w:p w:rsidR="00635D43" w:rsidRPr="00635D43" w:rsidRDefault="00635D43" w:rsidP="00635D43">
            <w:pPr>
              <w:ind w:leftChars="150" w:left="315"/>
              <w:rPr>
                <w:rFonts w:ascii="ＭＳ 明朝" w:hAnsi="ＭＳ 明朝"/>
                <w:sz w:val="22"/>
                <w:szCs w:val="24"/>
              </w:rPr>
            </w:pPr>
            <w:r w:rsidRPr="00635D43">
              <w:rPr>
                <w:rFonts w:ascii="ＭＳ 明朝" w:hAnsi="ＭＳ 明朝" w:hint="eastAsia"/>
                <w:sz w:val="22"/>
                <w:szCs w:val="24"/>
              </w:rPr>
              <w:t>⑥ヘアピンカーブは地盤の安定した箇所に設置する。</w:t>
            </w:r>
          </w:p>
          <w:p w:rsidR="00635D43" w:rsidRPr="00635D43" w:rsidRDefault="00635D43" w:rsidP="00635D43">
            <w:pPr>
              <w:ind w:leftChars="150" w:left="315"/>
              <w:rPr>
                <w:rFonts w:ascii="ＭＳ 明朝" w:hAnsi="ＭＳ 明朝"/>
                <w:sz w:val="22"/>
                <w:szCs w:val="24"/>
              </w:rPr>
            </w:pPr>
            <w:r w:rsidRPr="00635D43">
              <w:rPr>
                <w:rFonts w:ascii="ＭＳ 明朝" w:hAnsi="ＭＳ 明朝" w:hint="eastAsia"/>
                <w:sz w:val="22"/>
                <w:szCs w:val="24"/>
              </w:rPr>
              <w:t>⑦集材路・土場は渓流から距離を置いて配置する。</w:t>
            </w:r>
          </w:p>
          <w:p w:rsidR="00635D43" w:rsidRPr="00635D43" w:rsidRDefault="00635D43" w:rsidP="00635D43">
            <w:pPr>
              <w:ind w:leftChars="150" w:left="315"/>
              <w:rPr>
                <w:rFonts w:ascii="ＭＳ 明朝" w:hAnsi="ＭＳ 明朝"/>
                <w:sz w:val="22"/>
                <w:szCs w:val="24"/>
              </w:rPr>
            </w:pPr>
            <w:r w:rsidRPr="00635D43">
              <w:rPr>
                <w:rFonts w:ascii="ＭＳ 明朝" w:hAnsi="ＭＳ 明朝" w:hint="eastAsia"/>
                <w:sz w:val="22"/>
                <w:szCs w:val="24"/>
              </w:rPr>
              <w:t>⑧集材路は、沢筋を横断する箇所が少なくなるよう配置する。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⑨伐採現場の土質が粘性土の場合は、集材路・土場の作設を避ける。やむを得ず作設する場合は、土砂が渓流に流出しない工夫をする。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⑩伐採区域のみで集材路の適切な配置が困難な場合には、隣接地を経由することとし、隣接地の森林所有者等と調整を行う。</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⑪森林整備や木材の搬出のために継続的に用いる道を作設する場合は、森林作業道作設指針</w:t>
            </w:r>
            <w:r w:rsidRPr="00635D43">
              <w:rPr>
                <w:rFonts w:ascii="ＭＳ 明朝" w:hAnsi="ＭＳ 明朝" w:hint="eastAsia"/>
                <w:sz w:val="22"/>
                <w:szCs w:val="24"/>
                <w:vertAlign w:val="superscript"/>
              </w:rPr>
              <w:t>注２）</w:t>
            </w:r>
            <w:r w:rsidRPr="00635D43">
              <w:rPr>
                <w:rFonts w:ascii="ＭＳ 明朝" w:hAnsi="ＭＳ 明朝" w:hint="eastAsia"/>
                <w:sz w:val="22"/>
                <w:szCs w:val="24"/>
              </w:rPr>
              <w:t>に基づく森林作業道として作設する。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⑫幅員が３ｍを超える集材路又は森林作業道を作設する場合は、その面積が１h</w:t>
            </w:r>
            <w:r w:rsidRPr="00635D43">
              <w:rPr>
                <w:rFonts w:ascii="ＭＳ 明朝" w:hAnsi="ＭＳ 明朝"/>
                <w:sz w:val="22"/>
                <w:szCs w:val="24"/>
              </w:rPr>
              <w:t>a</w:t>
            </w:r>
            <w:r w:rsidRPr="00635D43">
              <w:rPr>
                <w:rFonts w:ascii="ＭＳ 明朝" w:hAnsi="ＭＳ 明朝" w:hint="eastAsia"/>
                <w:sz w:val="22"/>
                <w:szCs w:val="24"/>
              </w:rPr>
              <w:t>を超えていない。</w:t>
            </w:r>
          </w:p>
          <w:p w:rsidR="00635D43" w:rsidRPr="00635D43" w:rsidRDefault="00635D43" w:rsidP="00635D43">
            <w:pPr>
              <w:ind w:leftChars="150" w:left="535" w:hangingChars="100" w:hanging="220"/>
              <w:rPr>
                <w:rFonts w:ascii="ＭＳ 明朝" w:hAnsi="ＭＳ 明朝"/>
                <w:sz w:val="22"/>
                <w:szCs w:val="24"/>
              </w:rPr>
            </w:pPr>
            <w:bookmarkStart w:id="0" w:name="_GoBack"/>
            <w:bookmarkEnd w:id="0"/>
          </w:p>
          <w:p w:rsidR="00635D43" w:rsidRPr="00635D43" w:rsidRDefault="00635D43" w:rsidP="00635D43">
            <w:pPr>
              <w:ind w:leftChars="150" w:left="495" w:hangingChars="100" w:hanging="180"/>
              <w:rPr>
                <w:rFonts w:ascii="ＭＳ 明朝" w:hAnsi="ＭＳ 明朝"/>
                <w:sz w:val="18"/>
              </w:rPr>
            </w:pPr>
            <w:r w:rsidRPr="00635D43">
              <w:rPr>
                <w:rFonts w:ascii="ＭＳ 明朝"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635D43" w:rsidRPr="00635D43" w:rsidRDefault="00635D43" w:rsidP="00635D43">
            <w:pPr>
              <w:ind w:leftChars="150" w:left="495" w:hangingChars="100" w:hanging="180"/>
              <w:rPr>
                <w:rFonts w:ascii="ＭＳ 明朝" w:hAnsi="ＭＳ 明朝"/>
                <w:sz w:val="22"/>
                <w:szCs w:val="24"/>
              </w:rPr>
            </w:pPr>
            <w:r w:rsidRPr="00635D43">
              <w:rPr>
                <w:rFonts w:ascii="ＭＳ 明朝" w:hAnsi="ＭＳ 明朝" w:hint="eastAsia"/>
                <w:sz w:val="18"/>
              </w:rPr>
              <w:t>注２）「森林作業道作設指針の制定について」（平成</w:t>
            </w:r>
            <w:r w:rsidRPr="00635D43">
              <w:rPr>
                <w:rFonts w:ascii="ＭＳ 明朝" w:hAnsi="ＭＳ 明朝"/>
                <w:sz w:val="18"/>
              </w:rPr>
              <w:t>22年11</w:t>
            </w:r>
            <w:r w:rsidRPr="00635D43">
              <w:rPr>
                <w:rFonts w:ascii="ＭＳ 明朝" w:hAnsi="ＭＳ 明朝" w:hint="eastAsia"/>
                <w:sz w:val="18"/>
              </w:rPr>
              <w:t>月</w:t>
            </w:r>
            <w:r w:rsidRPr="00635D43">
              <w:rPr>
                <w:rFonts w:ascii="ＭＳ 明朝" w:hAnsi="ＭＳ 明朝"/>
                <w:sz w:val="18"/>
              </w:rPr>
              <w:t>17日付け林整整第656号林野庁</w:t>
            </w:r>
            <w:r w:rsidRPr="00635D43">
              <w:rPr>
                <w:rFonts w:ascii="ＭＳ 明朝"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rsidR="00635D43" w:rsidRPr="00635D43" w:rsidRDefault="00635D43" w:rsidP="00635D43">
            <w:pPr>
              <w:jc w:val="center"/>
              <w:rPr>
                <w:rFonts w:ascii="ＭＳ 明朝" w:hAnsi="ＭＳ 明朝"/>
                <w:sz w:val="22"/>
                <w:szCs w:val="24"/>
              </w:rPr>
            </w:pPr>
            <w:r w:rsidRPr="00635D43">
              <w:rPr>
                <w:rFonts w:ascii="ＭＳ 明朝" w:hAnsi="ＭＳ 明朝" w:hint="eastAsia"/>
                <w:sz w:val="44"/>
                <w:szCs w:val="48"/>
              </w:rPr>
              <w:t>□</w:t>
            </w:r>
          </w:p>
        </w:tc>
      </w:tr>
      <w:tr w:rsidR="00635D43" w:rsidRPr="00635D43" w:rsidTr="00C64C66">
        <w:trPr>
          <w:trHeight w:val="1553"/>
        </w:trPr>
        <w:tc>
          <w:tcPr>
            <w:tcW w:w="8505" w:type="dxa"/>
            <w:tcBorders>
              <w:right w:val="single" w:sz="4" w:space="0" w:color="auto"/>
            </w:tcBorders>
          </w:tcPr>
          <w:p w:rsidR="00635D43" w:rsidRPr="00635D43" w:rsidRDefault="00635D43" w:rsidP="00635D43">
            <w:pPr>
              <w:jc w:val="left"/>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lastRenderedPageBreak/>
              <w:t>（３）人家、道路、取水口周辺等での配慮</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rsidR="00635D43" w:rsidRPr="00635D43" w:rsidRDefault="00635D43" w:rsidP="00635D43">
            <w:pPr>
              <w:jc w:val="center"/>
              <w:rPr>
                <w:rFonts w:ascii="ＭＳ 明朝" w:hAnsi="ＭＳ 明朝"/>
                <w:sz w:val="22"/>
                <w:szCs w:val="24"/>
              </w:rPr>
            </w:pPr>
            <w:r w:rsidRPr="00635D43">
              <w:rPr>
                <w:rFonts w:ascii="ＭＳ 明朝" w:hAnsi="ＭＳ 明朝" w:hint="eastAsia"/>
                <w:sz w:val="44"/>
                <w:szCs w:val="48"/>
              </w:rPr>
              <w:t>□</w:t>
            </w:r>
          </w:p>
        </w:tc>
      </w:tr>
      <w:tr w:rsidR="00635D43" w:rsidRPr="00635D43" w:rsidTr="00C64C66">
        <w:trPr>
          <w:trHeight w:val="1233"/>
        </w:trPr>
        <w:tc>
          <w:tcPr>
            <w:tcW w:w="8505" w:type="dxa"/>
            <w:tcBorders>
              <w:right w:val="single" w:sz="4" w:space="0" w:color="auto"/>
            </w:tcBorders>
          </w:tcPr>
          <w:p w:rsidR="00635D43" w:rsidRPr="00635D43" w:rsidRDefault="00635D43" w:rsidP="00635D43">
            <w:pPr>
              <w:jc w:val="left"/>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t>（４）生物多様性と景観への配慮</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①希少な野生生物の生息・生育を知った場合には、線形及び作業の時期の変更等の対策を講じる。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rsidR="00635D43" w:rsidRPr="00635D43" w:rsidRDefault="00635D43" w:rsidP="00635D43">
            <w:pPr>
              <w:jc w:val="center"/>
              <w:rPr>
                <w:rFonts w:ascii="ＭＳ 明朝" w:hAnsi="ＭＳ 明朝"/>
                <w:sz w:val="22"/>
                <w:szCs w:val="24"/>
              </w:rPr>
            </w:pPr>
            <w:r w:rsidRPr="00635D43">
              <w:rPr>
                <w:rFonts w:ascii="ＭＳ 明朝" w:hAnsi="ＭＳ 明朝" w:hint="eastAsia"/>
                <w:sz w:val="44"/>
                <w:szCs w:val="48"/>
              </w:rPr>
              <w:t>□</w:t>
            </w:r>
          </w:p>
        </w:tc>
      </w:tr>
      <w:tr w:rsidR="00635D43" w:rsidRPr="00635D43" w:rsidTr="00C64C66">
        <w:trPr>
          <w:trHeight w:val="1832"/>
        </w:trPr>
        <w:tc>
          <w:tcPr>
            <w:tcW w:w="8505" w:type="dxa"/>
            <w:tcBorders>
              <w:right w:val="single" w:sz="4" w:space="0" w:color="auto"/>
            </w:tcBorders>
          </w:tcPr>
          <w:p w:rsidR="00635D43" w:rsidRPr="00635D43" w:rsidRDefault="00635D43" w:rsidP="00635D43">
            <w:pPr>
              <w:jc w:val="left"/>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t>（５）切土・盛土</w:t>
            </w:r>
          </w:p>
          <w:p w:rsidR="00635D43" w:rsidRPr="00635D43" w:rsidRDefault="00635D43" w:rsidP="00635D43">
            <w:pPr>
              <w:ind w:leftChars="150" w:left="535" w:hangingChars="100" w:hanging="220"/>
              <w:jc w:val="left"/>
              <w:rPr>
                <w:rFonts w:ascii="ＭＳ 明朝" w:hAnsi="ＭＳ 明朝"/>
                <w:sz w:val="22"/>
                <w:szCs w:val="24"/>
              </w:rPr>
            </w:pPr>
            <w:r w:rsidRPr="00635D43">
              <w:rPr>
                <w:rFonts w:ascii="ＭＳ 明朝" w:hAnsi="ＭＳ 明朝" w:hint="eastAsia"/>
                <w:sz w:val="22"/>
                <w:szCs w:val="24"/>
              </w:rPr>
              <w:t>①集材路の幅及び土場の広さは作業の安全を確保できる必要最小限とする。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②切土高を極力低く抑える。盛土はしっかり絞め固め、必要な場合には、丸太組み工等を活用する。</w:t>
            </w:r>
          </w:p>
          <w:p w:rsidR="00635D43" w:rsidRPr="00635D43" w:rsidRDefault="00635D43" w:rsidP="00635D43">
            <w:pPr>
              <w:ind w:leftChars="150" w:left="535" w:hangingChars="100" w:hanging="220"/>
              <w:jc w:val="left"/>
              <w:rPr>
                <w:rFonts w:ascii="ＭＳ ゴシック" w:eastAsia="ＭＳ ゴシック" w:hAnsi="ＭＳ ゴシック"/>
                <w:sz w:val="22"/>
                <w:szCs w:val="24"/>
              </w:rPr>
            </w:pPr>
            <w:r w:rsidRPr="00635D43">
              <w:rPr>
                <w:rFonts w:ascii="ＭＳ 明朝"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635D43" w:rsidRPr="00635D43" w:rsidRDefault="00635D43" w:rsidP="00635D43">
            <w:pPr>
              <w:jc w:val="center"/>
              <w:rPr>
                <w:rFonts w:ascii="ＭＳ 明朝" w:hAnsi="ＭＳ 明朝"/>
                <w:sz w:val="44"/>
                <w:szCs w:val="48"/>
              </w:rPr>
            </w:pPr>
            <w:r w:rsidRPr="00635D43">
              <w:rPr>
                <w:rFonts w:ascii="ＭＳ 明朝" w:hAnsi="ＭＳ 明朝" w:hint="eastAsia"/>
                <w:sz w:val="44"/>
                <w:szCs w:val="48"/>
              </w:rPr>
              <w:t>□</w:t>
            </w:r>
          </w:p>
        </w:tc>
      </w:tr>
      <w:tr w:rsidR="00635D43" w:rsidRPr="00635D43" w:rsidTr="00C64C66">
        <w:trPr>
          <w:trHeight w:val="1290"/>
        </w:trPr>
        <w:tc>
          <w:tcPr>
            <w:tcW w:w="8505" w:type="dxa"/>
            <w:tcBorders>
              <w:right w:val="single" w:sz="4" w:space="0" w:color="auto"/>
            </w:tcBorders>
          </w:tcPr>
          <w:p w:rsidR="00635D43" w:rsidRPr="00635D43" w:rsidRDefault="00635D43" w:rsidP="00635D43">
            <w:pPr>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t>（６）路面の保護と排水の処理</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①雨水による路面の洗堀・崩壊を避けるための対策を講じる。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635D43" w:rsidRPr="00635D43" w:rsidRDefault="00635D43" w:rsidP="00635D43">
            <w:pPr>
              <w:jc w:val="center"/>
              <w:rPr>
                <w:rFonts w:ascii="ＭＳ 明朝" w:hAnsi="ＭＳ 明朝"/>
                <w:sz w:val="22"/>
                <w:szCs w:val="24"/>
              </w:rPr>
            </w:pPr>
            <w:r w:rsidRPr="00635D43">
              <w:rPr>
                <w:rFonts w:ascii="ＭＳ 明朝" w:hAnsi="ＭＳ 明朝" w:hint="eastAsia"/>
                <w:sz w:val="44"/>
                <w:szCs w:val="48"/>
              </w:rPr>
              <w:t>□</w:t>
            </w:r>
          </w:p>
        </w:tc>
      </w:tr>
      <w:tr w:rsidR="00635D43" w:rsidRPr="00635D43" w:rsidTr="00C64C66">
        <w:trPr>
          <w:trHeight w:val="1824"/>
        </w:trPr>
        <w:tc>
          <w:tcPr>
            <w:tcW w:w="8505" w:type="dxa"/>
            <w:tcBorders>
              <w:right w:val="single" w:sz="4" w:space="0" w:color="auto"/>
            </w:tcBorders>
          </w:tcPr>
          <w:p w:rsidR="00635D43" w:rsidRPr="00635D43" w:rsidRDefault="00635D43" w:rsidP="00635D43">
            <w:pPr>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t>（７）渓流横断箇所の処理</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rsidR="00635D43" w:rsidRPr="00635D43" w:rsidRDefault="00635D43" w:rsidP="00635D43">
            <w:pPr>
              <w:jc w:val="center"/>
              <w:rPr>
                <w:rFonts w:ascii="ＭＳ 明朝" w:hAnsi="ＭＳ 明朝"/>
                <w:sz w:val="22"/>
                <w:szCs w:val="24"/>
              </w:rPr>
            </w:pPr>
            <w:r w:rsidRPr="00635D43">
              <w:rPr>
                <w:rFonts w:ascii="ＭＳ 明朝" w:hAnsi="ＭＳ 明朝" w:hint="eastAsia"/>
                <w:sz w:val="44"/>
                <w:szCs w:val="48"/>
              </w:rPr>
              <w:t>□</w:t>
            </w:r>
          </w:p>
        </w:tc>
      </w:tr>
      <w:tr w:rsidR="00635D43" w:rsidRPr="00635D43" w:rsidTr="00C64C66">
        <w:trPr>
          <w:trHeight w:val="3531"/>
        </w:trPr>
        <w:tc>
          <w:tcPr>
            <w:tcW w:w="8505" w:type="dxa"/>
            <w:tcBorders>
              <w:right w:val="single" w:sz="4" w:space="0" w:color="auto"/>
            </w:tcBorders>
          </w:tcPr>
          <w:p w:rsidR="00635D43" w:rsidRPr="00635D43" w:rsidRDefault="00635D43" w:rsidP="00635D43">
            <w:pPr>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t>（８）作業実行上の配慮</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①集材路・土場は、作業が終了して次の作業まで一定期間使用しない場合には、土砂の流出を防止するため、路面に枝条を敷設する等の措置を講じる。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②降雨等により路盤が多量の水分を帯びている状態では通行しない。通行する場合には、丸太等の敷設などにより、路面のわだち掘れ等を防止する。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③伐採現場が人家、道路等の上方に位置する場合には、伐倒木、丸太等の落下防止に最大限の注意をはらう。</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④伐採後の植栽作業を想定して枝条等を整理する。造林事業者が決まっている場合には、現場の後処理等の調整をする。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⑤枝条等が渓流に流出しないように対策を講じる。</w:t>
            </w:r>
          </w:p>
          <w:p w:rsidR="00635D43" w:rsidRPr="00635D43" w:rsidRDefault="00635D43" w:rsidP="00635D43">
            <w:pPr>
              <w:ind w:leftChars="150" w:left="535" w:hangingChars="100" w:hanging="220"/>
              <w:rPr>
                <w:rFonts w:ascii="ＭＳ 明朝" w:hAnsi="ＭＳ 明朝"/>
                <w:sz w:val="22"/>
                <w:szCs w:val="24"/>
              </w:rPr>
            </w:pPr>
            <w:r w:rsidRPr="00635D43">
              <w:rPr>
                <w:rFonts w:ascii="ＭＳ 明朝" w:hAnsi="ＭＳ 明朝" w:hint="eastAsia"/>
                <w:sz w:val="22"/>
                <w:szCs w:val="24"/>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rsidR="00635D43" w:rsidRPr="00635D43" w:rsidRDefault="00635D43" w:rsidP="00635D43">
            <w:pPr>
              <w:jc w:val="center"/>
              <w:rPr>
                <w:rFonts w:ascii="ＭＳ 明朝" w:hAnsi="ＭＳ 明朝"/>
                <w:sz w:val="22"/>
                <w:szCs w:val="24"/>
              </w:rPr>
            </w:pPr>
            <w:r w:rsidRPr="00635D43">
              <w:rPr>
                <w:rFonts w:ascii="ＭＳ 明朝" w:hAnsi="ＭＳ 明朝" w:hint="eastAsia"/>
                <w:sz w:val="44"/>
                <w:szCs w:val="48"/>
              </w:rPr>
              <w:t>□</w:t>
            </w:r>
          </w:p>
        </w:tc>
      </w:tr>
      <w:tr w:rsidR="00635D43" w:rsidRPr="00635D43" w:rsidTr="00C64C66">
        <w:trPr>
          <w:trHeight w:val="2122"/>
        </w:trPr>
        <w:tc>
          <w:tcPr>
            <w:tcW w:w="8505" w:type="dxa"/>
            <w:tcBorders>
              <w:right w:val="single" w:sz="4" w:space="0" w:color="auto"/>
            </w:tcBorders>
          </w:tcPr>
          <w:p w:rsidR="00635D43" w:rsidRPr="00635D43" w:rsidRDefault="00635D43" w:rsidP="00635D43">
            <w:pPr>
              <w:jc w:val="left"/>
              <w:rPr>
                <w:rFonts w:ascii="ＭＳ ゴシック" w:eastAsia="ＭＳ ゴシック" w:hAnsi="ＭＳ ゴシック"/>
                <w:sz w:val="22"/>
                <w:szCs w:val="24"/>
              </w:rPr>
            </w:pPr>
            <w:r w:rsidRPr="00635D43">
              <w:rPr>
                <w:rFonts w:ascii="ＭＳ ゴシック" w:eastAsia="ＭＳ ゴシック" w:hAnsi="ＭＳ ゴシック" w:hint="eastAsia"/>
                <w:sz w:val="22"/>
                <w:szCs w:val="24"/>
              </w:rPr>
              <w:lastRenderedPageBreak/>
              <w:t>（９）事業実施後の整理</w:t>
            </w:r>
          </w:p>
          <w:p w:rsidR="00635D43" w:rsidRPr="00635D43" w:rsidRDefault="00635D43" w:rsidP="00635D43">
            <w:pPr>
              <w:ind w:leftChars="150" w:left="535" w:hangingChars="100" w:hanging="220"/>
              <w:jc w:val="left"/>
              <w:rPr>
                <w:rFonts w:ascii="ＭＳ 明朝" w:hAnsi="ＭＳ 明朝"/>
                <w:sz w:val="22"/>
                <w:szCs w:val="24"/>
              </w:rPr>
            </w:pPr>
            <w:r w:rsidRPr="00635D43">
              <w:rPr>
                <w:rFonts w:ascii="ＭＳ 明朝" w:hAnsi="ＭＳ 明朝" w:hint="eastAsia"/>
                <w:sz w:val="22"/>
                <w:szCs w:val="24"/>
              </w:rPr>
              <w:t>①枝条等は木質バイオマス資材等への有効利用を検討するとともに、枝条等を伐採現場に残す場合は、渓流に流れ出たり、林地崩壊を誘発したりすることがないように、適切な場所に整理する。</w:t>
            </w:r>
          </w:p>
          <w:p w:rsidR="00635D43" w:rsidRPr="00635D43" w:rsidRDefault="00635D43" w:rsidP="00635D43">
            <w:pPr>
              <w:ind w:leftChars="150" w:left="535" w:hangingChars="100" w:hanging="220"/>
              <w:jc w:val="left"/>
              <w:rPr>
                <w:rFonts w:ascii="ＭＳ 明朝" w:hAnsi="ＭＳ 明朝"/>
                <w:sz w:val="22"/>
                <w:szCs w:val="24"/>
              </w:rPr>
            </w:pPr>
            <w:r w:rsidRPr="00635D43">
              <w:rPr>
                <w:rFonts w:ascii="ＭＳ 明朝" w:hAnsi="ＭＳ 明朝" w:hint="eastAsia"/>
                <w:sz w:val="22"/>
                <w:szCs w:val="24"/>
              </w:rPr>
              <w:t>②集材路・土場は植栽等により植生の回復を促す。また、溝切り等の排水処置を行う。</w:t>
            </w:r>
          </w:p>
          <w:p w:rsidR="00635D43" w:rsidRPr="00635D43" w:rsidRDefault="00635D43" w:rsidP="00635D43">
            <w:pPr>
              <w:ind w:leftChars="150" w:left="535" w:hangingChars="100" w:hanging="220"/>
              <w:jc w:val="left"/>
              <w:rPr>
                <w:rFonts w:ascii="ＭＳ 明朝" w:hAnsi="ＭＳ 明朝"/>
                <w:sz w:val="22"/>
                <w:szCs w:val="24"/>
              </w:rPr>
            </w:pPr>
            <w:r w:rsidRPr="00635D43">
              <w:rPr>
                <w:rFonts w:ascii="ＭＳ 明朝" w:hAnsi="ＭＳ 明朝" w:hint="eastAsia"/>
                <w:sz w:val="22"/>
                <w:szCs w:val="24"/>
              </w:rPr>
              <w:t>③伐採・搬出に使用した資材・燃料等は確実に整理、撤去する。</w:t>
            </w:r>
          </w:p>
          <w:p w:rsidR="00635D43" w:rsidRPr="00635D43" w:rsidRDefault="00635D43" w:rsidP="00635D43">
            <w:pPr>
              <w:ind w:leftChars="150" w:left="535" w:hangingChars="100" w:hanging="220"/>
              <w:jc w:val="left"/>
              <w:rPr>
                <w:rFonts w:ascii="ＭＳ 明朝" w:hAnsi="ＭＳ 明朝"/>
                <w:sz w:val="22"/>
                <w:szCs w:val="24"/>
              </w:rPr>
            </w:pPr>
            <w:r w:rsidRPr="00635D43">
              <w:rPr>
                <w:rFonts w:ascii="ＭＳ 明朝" w:hAnsi="ＭＳ 明朝" w:hint="eastAsia"/>
                <w:sz w:val="22"/>
                <w:szCs w:val="24"/>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rsidR="00635D43" w:rsidRPr="00635D43" w:rsidRDefault="00635D43" w:rsidP="00635D43">
            <w:pPr>
              <w:jc w:val="center"/>
              <w:rPr>
                <w:rFonts w:ascii="ＭＳ 明朝" w:hAnsi="ＭＳ 明朝"/>
                <w:sz w:val="40"/>
                <w:szCs w:val="44"/>
              </w:rPr>
            </w:pPr>
            <w:r w:rsidRPr="00635D43">
              <w:rPr>
                <w:rFonts w:ascii="ＭＳ 明朝" w:hAnsi="ＭＳ 明朝" w:hint="eastAsia"/>
                <w:sz w:val="44"/>
                <w:szCs w:val="48"/>
              </w:rPr>
              <w:t>□</w:t>
            </w:r>
          </w:p>
        </w:tc>
      </w:tr>
    </w:tbl>
    <w:p w:rsidR="00635D43" w:rsidRPr="00635D43" w:rsidRDefault="00635D43" w:rsidP="00635D43">
      <w:pPr>
        <w:rPr>
          <w:rFonts w:ascii="ＭＳ 明朝" w:eastAsia="ＭＳ 明朝" w:hAnsi="Century" w:cs="Times New Roman"/>
          <w:u w:val="single"/>
        </w:rPr>
      </w:pPr>
    </w:p>
    <w:p w:rsidR="00635D43" w:rsidRPr="00635D43" w:rsidRDefault="00635D43" w:rsidP="00635D43">
      <w:pPr>
        <w:rPr>
          <w:rFonts w:ascii="ＭＳ 明朝" w:eastAsia="ＭＳ 明朝" w:hAnsi="Century" w:cs="Times New Roman"/>
        </w:rPr>
      </w:pPr>
    </w:p>
    <w:p w:rsidR="005D3BF0" w:rsidRPr="00635D43" w:rsidRDefault="005D3BF0" w:rsidP="00635D43">
      <w:pPr>
        <w:widowControl/>
        <w:jc w:val="left"/>
        <w:rPr>
          <w:rFonts w:ascii="ＭＳ 明朝" w:eastAsia="ＭＳ 明朝" w:hAnsi="Century" w:cs="Times New Roman" w:hint="eastAsia"/>
        </w:rPr>
      </w:pPr>
    </w:p>
    <w:sectPr w:rsidR="005D3BF0" w:rsidRPr="00635D43" w:rsidSect="00635D43">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8F" w:rsidRDefault="00EE318F" w:rsidP="00EE318F">
      <w:r>
        <w:separator/>
      </w:r>
    </w:p>
  </w:endnote>
  <w:endnote w:type="continuationSeparator" w:id="0">
    <w:p w:rsidR="00EE318F" w:rsidRDefault="00EE318F" w:rsidP="00EE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8F" w:rsidRDefault="00EE318F" w:rsidP="00EE318F">
      <w:r>
        <w:separator/>
      </w:r>
    </w:p>
  </w:footnote>
  <w:footnote w:type="continuationSeparator" w:id="0">
    <w:p w:rsidR="00EE318F" w:rsidRDefault="00EE318F" w:rsidP="00EE3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AB"/>
    <w:rsid w:val="00404C55"/>
    <w:rsid w:val="005D3BF0"/>
    <w:rsid w:val="00635D43"/>
    <w:rsid w:val="008E7BEF"/>
    <w:rsid w:val="00AF076B"/>
    <w:rsid w:val="00D906AB"/>
    <w:rsid w:val="00EE318F"/>
    <w:rsid w:val="00F7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C8888"/>
  <w15:chartTrackingRefBased/>
  <w15:docId w15:val="{66559F65-30C4-45B5-8D89-93AC329F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18F"/>
    <w:pPr>
      <w:tabs>
        <w:tab w:val="center" w:pos="4252"/>
        <w:tab w:val="right" w:pos="8504"/>
      </w:tabs>
      <w:snapToGrid w:val="0"/>
    </w:pPr>
  </w:style>
  <w:style w:type="character" w:customStyle="1" w:styleId="a4">
    <w:name w:val="ヘッダー (文字)"/>
    <w:basedOn w:val="a0"/>
    <w:link w:val="a3"/>
    <w:uiPriority w:val="99"/>
    <w:rsid w:val="00EE318F"/>
  </w:style>
  <w:style w:type="paragraph" w:styleId="a5">
    <w:name w:val="footer"/>
    <w:basedOn w:val="a"/>
    <w:link w:val="a6"/>
    <w:uiPriority w:val="99"/>
    <w:unhideWhenUsed/>
    <w:rsid w:val="00EE318F"/>
    <w:pPr>
      <w:tabs>
        <w:tab w:val="center" w:pos="4252"/>
        <w:tab w:val="right" w:pos="8504"/>
      </w:tabs>
      <w:snapToGrid w:val="0"/>
    </w:pPr>
  </w:style>
  <w:style w:type="character" w:customStyle="1" w:styleId="a6">
    <w:name w:val="フッター (文字)"/>
    <w:basedOn w:val="a0"/>
    <w:link w:val="a5"/>
    <w:uiPriority w:val="99"/>
    <w:rsid w:val="00EE318F"/>
  </w:style>
  <w:style w:type="table" w:customStyle="1" w:styleId="1">
    <w:name w:val="表 (格子)1"/>
    <w:basedOn w:val="a1"/>
    <w:next w:val="a7"/>
    <w:uiPriority w:val="39"/>
    <w:rsid w:val="00635D4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63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茂樹</dc:creator>
  <cp:keywords/>
  <dc:description/>
  <cp:lastModifiedBy>中村 茂樹</cp:lastModifiedBy>
  <cp:revision>6</cp:revision>
  <dcterms:created xsi:type="dcterms:W3CDTF">2022-07-13T03:18:00Z</dcterms:created>
  <dcterms:modified xsi:type="dcterms:W3CDTF">2022-07-20T00:02:00Z</dcterms:modified>
</cp:coreProperties>
</file>